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77" w:rsidRPr="008E16CB" w:rsidRDefault="001C6E84" w:rsidP="001C6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CB">
        <w:rPr>
          <w:rFonts w:ascii="Times New Roman" w:hAnsi="Times New Roman" w:cs="Times New Roman"/>
          <w:b/>
          <w:sz w:val="28"/>
          <w:szCs w:val="28"/>
        </w:rPr>
        <w:t>NOTES IMPORTANTES</w:t>
      </w:r>
    </w:p>
    <w:p w:rsidR="001C6E84" w:rsidRDefault="001C6E84" w:rsidP="001C6E84">
      <w:pPr>
        <w:jc w:val="center"/>
        <w:rPr>
          <w:b/>
        </w:rPr>
      </w:pPr>
    </w:p>
    <w:p w:rsidR="008E16CB" w:rsidRPr="008E16CB" w:rsidRDefault="008E16CB" w:rsidP="008E16CB">
      <w:pPr>
        <w:jc w:val="both"/>
        <w:rPr>
          <w:rFonts w:ascii="Times New Roman" w:hAnsi="Times New Roman" w:cs="Times New Roman"/>
          <w:b/>
        </w:rPr>
      </w:pPr>
      <w:r w:rsidRPr="008E16CB">
        <w:rPr>
          <w:rFonts w:ascii="Times New Roman" w:hAnsi="Times New Roman" w:cs="Times New Roman"/>
          <w:b/>
        </w:rPr>
        <w:t>1- Utilisation du numéro d’enregistrement REX par l’exportateur</w:t>
      </w:r>
      <w:r w:rsidR="001A5192">
        <w:rPr>
          <w:rFonts w:ascii="Times New Roman" w:hAnsi="Times New Roman" w:cs="Times New Roman"/>
          <w:b/>
        </w:rPr>
        <w:t> :</w:t>
      </w:r>
    </w:p>
    <w:p w:rsidR="00C3451A" w:rsidRPr="008E16CB" w:rsidRDefault="00C3451A" w:rsidP="00BC7025">
      <w:pPr>
        <w:jc w:val="both"/>
        <w:rPr>
          <w:rFonts w:ascii="Times New Roman" w:hAnsi="Times New Roman" w:cs="Times New Roman"/>
        </w:rPr>
      </w:pPr>
      <w:r w:rsidRPr="008E16CB">
        <w:rPr>
          <w:rFonts w:ascii="Times New Roman" w:hAnsi="Times New Roman" w:cs="Times New Roman"/>
        </w:rPr>
        <w:t>Le numéro d’enregistrement REX attribué par</w:t>
      </w:r>
      <w:r w:rsidR="008E16CB">
        <w:rPr>
          <w:rFonts w:ascii="Times New Roman" w:hAnsi="Times New Roman" w:cs="Times New Roman"/>
        </w:rPr>
        <w:t xml:space="preserve"> l’autorité compétente est un numéro</w:t>
      </w:r>
      <w:r w:rsidRPr="008E16CB">
        <w:rPr>
          <w:rFonts w:ascii="Times New Roman" w:hAnsi="Times New Roman" w:cs="Times New Roman"/>
        </w:rPr>
        <w:t xml:space="preserve"> unique dans le pays bénéficiaire ainsi que dans </w:t>
      </w:r>
      <w:r w:rsidR="008E16CB">
        <w:rPr>
          <w:rFonts w:ascii="Times New Roman" w:hAnsi="Times New Roman" w:cs="Times New Roman"/>
        </w:rPr>
        <w:t>le système et n</w:t>
      </w:r>
      <w:r w:rsidR="001A5192">
        <w:rPr>
          <w:rFonts w:ascii="Times New Roman" w:hAnsi="Times New Roman" w:cs="Times New Roman"/>
        </w:rPr>
        <w:t xml:space="preserve">e peut être utilisé que par l’exportateur auquel il est attribué. </w:t>
      </w:r>
    </w:p>
    <w:p w:rsidR="00C3451A" w:rsidRDefault="00C3451A" w:rsidP="00BC7025">
      <w:pPr>
        <w:jc w:val="both"/>
        <w:rPr>
          <w:rFonts w:ascii="Times New Roman" w:hAnsi="Times New Roman" w:cs="Times New Roman"/>
        </w:rPr>
      </w:pPr>
    </w:p>
    <w:p w:rsidR="001A5192" w:rsidRPr="001A5192" w:rsidRDefault="001A5192" w:rsidP="00BC70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 Obligations incombant aux exportateurs :</w:t>
      </w:r>
    </w:p>
    <w:p w:rsidR="00BC7025" w:rsidRPr="001A5192" w:rsidRDefault="00BC7025" w:rsidP="001A519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192">
        <w:rPr>
          <w:rFonts w:ascii="Times New Roman" w:hAnsi="Times New Roman" w:cs="Times New Roman"/>
        </w:rPr>
        <w:t>Les exportateurs doivent maintenir disponibles :</w:t>
      </w:r>
    </w:p>
    <w:p w:rsidR="00BC7025" w:rsidRPr="001A5192" w:rsidRDefault="001A5192" w:rsidP="001A5192">
      <w:pPr>
        <w:jc w:val="both"/>
        <w:rPr>
          <w:rFonts w:ascii="Times New Roman" w:hAnsi="Times New Roman" w:cs="Times New Roman"/>
        </w:rPr>
      </w:pPr>
      <w:r w:rsidRPr="001A51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t</w:t>
      </w:r>
      <w:r w:rsidR="00BC7025" w:rsidRPr="001A5192">
        <w:rPr>
          <w:rFonts w:ascii="Times New Roman" w:hAnsi="Times New Roman" w:cs="Times New Roman"/>
        </w:rPr>
        <w:t>outes les preuves liées aux matières utilisées dans la fabrication</w:t>
      </w:r>
      <w:r>
        <w:rPr>
          <w:rFonts w:ascii="Times New Roman" w:hAnsi="Times New Roman" w:cs="Times New Roman"/>
        </w:rPr>
        <w:t xml:space="preserve"> d’un produit ;</w:t>
      </w:r>
    </w:p>
    <w:p w:rsidR="00BC7025" w:rsidRPr="008E16CB" w:rsidRDefault="001A5192" w:rsidP="00BC70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</w:t>
      </w:r>
      <w:r w:rsidR="00BC7025" w:rsidRPr="008E16CB">
        <w:rPr>
          <w:rFonts w:ascii="Times New Roman" w:hAnsi="Times New Roman" w:cs="Times New Roman"/>
        </w:rPr>
        <w:t>oute documentation douanière liée aux matières utilisées dans la fabrication</w:t>
      </w:r>
      <w:r>
        <w:rPr>
          <w:rFonts w:ascii="Times New Roman" w:hAnsi="Times New Roman" w:cs="Times New Roman"/>
        </w:rPr>
        <w:t xml:space="preserve"> d’un produit ;</w:t>
      </w:r>
    </w:p>
    <w:p w:rsidR="001A5192" w:rsidRDefault="001A5192" w:rsidP="00BC70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</w:t>
      </w:r>
      <w:r w:rsidR="00BC7025" w:rsidRPr="008E16CB">
        <w:rPr>
          <w:rFonts w:ascii="Times New Roman" w:hAnsi="Times New Roman" w:cs="Times New Roman"/>
        </w:rPr>
        <w:t>es enregistrements des attestations d'origine émises par eux, les comptes d'entrepôt et de production des matières originaires et non-originaires (pendant au moins 3 ans à partir de la fin de l'année civile au cours de laqu</w:t>
      </w:r>
      <w:r>
        <w:rPr>
          <w:rFonts w:ascii="Times New Roman" w:hAnsi="Times New Roman" w:cs="Times New Roman"/>
        </w:rPr>
        <w:t>elle l'attestation a été émise</w:t>
      </w:r>
      <w:r w:rsidR="00BC7025" w:rsidRPr="008E16C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1A5192" w:rsidRDefault="001A5192" w:rsidP="00BC7025">
      <w:pPr>
        <w:jc w:val="both"/>
        <w:rPr>
          <w:rFonts w:ascii="Times New Roman" w:hAnsi="Times New Roman" w:cs="Times New Roman"/>
        </w:rPr>
      </w:pPr>
    </w:p>
    <w:p w:rsidR="001C6E84" w:rsidRDefault="00BC7025" w:rsidP="001A5192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5192">
        <w:rPr>
          <w:rFonts w:ascii="Times New Roman" w:hAnsi="Times New Roman" w:cs="Times New Roman"/>
        </w:rPr>
        <w:t>Les exportateurs fournissent régulièremen</w:t>
      </w:r>
      <w:r w:rsidR="00244CFF">
        <w:rPr>
          <w:rFonts w:ascii="Times New Roman" w:hAnsi="Times New Roman" w:cs="Times New Roman"/>
        </w:rPr>
        <w:t xml:space="preserve">t à l’Administration des douanes </w:t>
      </w:r>
      <w:bookmarkStart w:id="0" w:name="_GoBack"/>
      <w:bookmarkEnd w:id="0"/>
      <w:r w:rsidRPr="001A5192">
        <w:rPr>
          <w:rFonts w:ascii="Times New Roman" w:hAnsi="Times New Roman" w:cs="Times New Roman"/>
        </w:rPr>
        <w:t>la liste des attestations d’origine qu’ils ont établies</w:t>
      </w:r>
      <w:r w:rsidR="001A5192">
        <w:rPr>
          <w:rFonts w:ascii="Times New Roman" w:hAnsi="Times New Roman" w:cs="Times New Roman"/>
        </w:rPr>
        <w:t>.</w:t>
      </w:r>
    </w:p>
    <w:p w:rsidR="001A5192" w:rsidRDefault="001A5192" w:rsidP="001A5192">
      <w:pPr>
        <w:jc w:val="both"/>
        <w:rPr>
          <w:rFonts w:ascii="Times New Roman" w:hAnsi="Times New Roman" w:cs="Times New Roman"/>
        </w:rPr>
      </w:pPr>
    </w:p>
    <w:p w:rsidR="001A5192" w:rsidRDefault="001A5192" w:rsidP="001A51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 Modèle de l’attestation d’origine :</w:t>
      </w:r>
    </w:p>
    <w:p w:rsidR="001A5192" w:rsidRPr="001A5192" w:rsidRDefault="001A5192" w:rsidP="001A5192">
      <w:pPr>
        <w:jc w:val="both"/>
        <w:rPr>
          <w:rFonts w:ascii="Times New Roman" w:hAnsi="Times New Roman" w:cs="Times New Roman"/>
          <w:b/>
        </w:rPr>
      </w:pPr>
      <w:r>
        <w:rPr>
          <w:noProof/>
          <w:lang w:eastAsia="fr-FR"/>
        </w:rPr>
        <w:drawing>
          <wp:inline distT="0" distB="0" distL="0" distR="0" wp14:anchorId="326D0F23" wp14:editId="0C10288F">
            <wp:extent cx="5760720" cy="904875"/>
            <wp:effectExtent l="19050" t="19050" r="11430" b="2857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1A5192" w:rsidRDefault="00244CFF" w:rsidP="00F65E67">
      <w:pPr>
        <w:jc w:val="both"/>
        <w:rPr>
          <w:rFonts w:ascii="Times New Roman" w:hAnsi="Times New Roman" w:cs="Times New Roman"/>
        </w:rPr>
      </w:pPr>
      <w:r w:rsidRPr="001A5192">
        <w:rPr>
          <w:rFonts w:ascii="Times New Roman" w:hAnsi="Times New Roman" w:cs="Times New Roman"/>
          <w:lang w:val="en-GB"/>
        </w:rPr>
        <w:t xml:space="preserve">(2)(3)(4) pour le </w:t>
      </w:r>
      <w:proofErr w:type="spellStart"/>
      <w:r w:rsidRPr="001A5192">
        <w:rPr>
          <w:rFonts w:ascii="Times New Roman" w:hAnsi="Times New Roman" w:cs="Times New Roman"/>
          <w:lang w:val="en-GB"/>
        </w:rPr>
        <w:t>numéro</w:t>
      </w:r>
      <w:proofErr w:type="spellEnd"/>
      <w:r w:rsidRPr="001A5192">
        <w:rPr>
          <w:rFonts w:ascii="Times New Roman" w:hAnsi="Times New Roman" w:cs="Times New Roman"/>
          <w:lang w:val="en-GB"/>
        </w:rPr>
        <w:t xml:space="preserve"> REX de </w:t>
      </w:r>
      <w:proofErr w:type="spellStart"/>
      <w:r w:rsidRPr="001A5192">
        <w:rPr>
          <w:rFonts w:ascii="Times New Roman" w:hAnsi="Times New Roman" w:cs="Times New Roman"/>
          <w:lang w:val="en-GB"/>
        </w:rPr>
        <w:t>l’exportateur</w:t>
      </w:r>
      <w:proofErr w:type="spellEnd"/>
      <w:r w:rsidRPr="001A519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A5192">
        <w:rPr>
          <w:rFonts w:ascii="Times New Roman" w:hAnsi="Times New Roman" w:cs="Times New Roman"/>
          <w:lang w:val="en-GB"/>
        </w:rPr>
        <w:t>enregistré</w:t>
      </w:r>
      <w:proofErr w:type="spellEnd"/>
    </w:p>
    <w:p w:rsidR="00000000" w:rsidRPr="001A5192" w:rsidRDefault="00244CFF" w:rsidP="00F65E67">
      <w:pPr>
        <w:jc w:val="both"/>
        <w:rPr>
          <w:rFonts w:ascii="Times New Roman" w:hAnsi="Times New Roman" w:cs="Times New Roman"/>
        </w:rPr>
      </w:pPr>
      <w:r w:rsidRPr="001A5192">
        <w:rPr>
          <w:rFonts w:ascii="Times New Roman" w:hAnsi="Times New Roman" w:cs="Times New Roman"/>
          <w:lang w:val="en-GB"/>
        </w:rPr>
        <w:t xml:space="preserve">(5) </w:t>
      </w:r>
      <w:proofErr w:type="gramStart"/>
      <w:r w:rsidRPr="001A5192">
        <w:rPr>
          <w:rFonts w:ascii="Times New Roman" w:hAnsi="Times New Roman" w:cs="Times New Roman"/>
          <w:lang w:val="en-GB"/>
        </w:rPr>
        <w:t>pour</w:t>
      </w:r>
      <w:proofErr w:type="gramEnd"/>
      <w:r w:rsidRPr="001A5192">
        <w:rPr>
          <w:rFonts w:ascii="Times New Roman" w:hAnsi="Times New Roman" w:cs="Times New Roman"/>
          <w:lang w:val="en-GB"/>
        </w:rPr>
        <w:t xml:space="preserve"> le nom du pays </w:t>
      </w:r>
      <w:proofErr w:type="spellStart"/>
      <w:r w:rsidRPr="001A5192">
        <w:rPr>
          <w:rFonts w:ascii="Times New Roman" w:hAnsi="Times New Roman" w:cs="Times New Roman"/>
          <w:lang w:val="en-GB"/>
        </w:rPr>
        <w:t>dont</w:t>
      </w:r>
      <w:proofErr w:type="spellEnd"/>
      <w:r w:rsidRPr="001A5192">
        <w:rPr>
          <w:rFonts w:ascii="Times New Roman" w:hAnsi="Times New Roman" w:cs="Times New Roman"/>
          <w:lang w:val="en-GB"/>
        </w:rPr>
        <w:t xml:space="preserve"> les </w:t>
      </w:r>
      <w:proofErr w:type="spellStart"/>
      <w:r w:rsidRPr="001A5192">
        <w:rPr>
          <w:rFonts w:ascii="Times New Roman" w:hAnsi="Times New Roman" w:cs="Times New Roman"/>
          <w:lang w:val="en-GB"/>
        </w:rPr>
        <w:t>produits</w:t>
      </w:r>
      <w:proofErr w:type="spellEnd"/>
      <w:r w:rsidRPr="001A519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A5192">
        <w:rPr>
          <w:rFonts w:ascii="Times New Roman" w:hAnsi="Times New Roman" w:cs="Times New Roman"/>
          <w:lang w:val="en-GB"/>
        </w:rPr>
        <w:t>sont</w:t>
      </w:r>
      <w:proofErr w:type="spellEnd"/>
      <w:r w:rsidRPr="001A519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A5192">
        <w:rPr>
          <w:rFonts w:ascii="Times New Roman" w:hAnsi="Times New Roman" w:cs="Times New Roman"/>
          <w:lang w:val="en-GB"/>
        </w:rPr>
        <w:t>originaires</w:t>
      </w:r>
      <w:proofErr w:type="spellEnd"/>
      <w:r w:rsidRPr="001A5192">
        <w:rPr>
          <w:rFonts w:ascii="Times New Roman" w:hAnsi="Times New Roman" w:cs="Times New Roman"/>
          <w:lang w:val="en-GB"/>
        </w:rPr>
        <w:t xml:space="preserve"> </w:t>
      </w:r>
    </w:p>
    <w:p w:rsidR="00000000" w:rsidRPr="001A5192" w:rsidRDefault="00244CFF" w:rsidP="00F65E67">
      <w:pPr>
        <w:jc w:val="both"/>
        <w:rPr>
          <w:rFonts w:ascii="Times New Roman" w:hAnsi="Times New Roman" w:cs="Times New Roman"/>
        </w:rPr>
      </w:pPr>
      <w:r w:rsidRPr="001A5192">
        <w:rPr>
          <w:rFonts w:ascii="Times New Roman" w:hAnsi="Times New Roman" w:cs="Times New Roman"/>
          <w:lang w:val="en-GB"/>
        </w:rPr>
        <w:t xml:space="preserve">(6) </w:t>
      </w:r>
      <w:proofErr w:type="gramStart"/>
      <w:r w:rsidRPr="001A5192">
        <w:rPr>
          <w:rFonts w:ascii="Times New Roman" w:hAnsi="Times New Roman" w:cs="Times New Roman"/>
          <w:lang w:val="en-GB"/>
        </w:rPr>
        <w:t>pour</w:t>
      </w:r>
      <w:proofErr w:type="gramEnd"/>
      <w:r w:rsidRPr="001A5192">
        <w:rPr>
          <w:rFonts w:ascii="Times New Roman" w:hAnsi="Times New Roman" w:cs="Times New Roman"/>
          <w:lang w:val="en-GB"/>
        </w:rPr>
        <w:t xml:space="preserve"> les </w:t>
      </w:r>
      <w:proofErr w:type="spellStart"/>
      <w:r w:rsidRPr="001A5192">
        <w:rPr>
          <w:rFonts w:ascii="Times New Roman" w:hAnsi="Times New Roman" w:cs="Times New Roman"/>
          <w:lang w:val="en-GB"/>
        </w:rPr>
        <w:t>critères</w:t>
      </w:r>
      <w:proofErr w:type="spellEnd"/>
      <w:r w:rsidRPr="001A519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A5192">
        <w:rPr>
          <w:rFonts w:ascii="Times New Roman" w:hAnsi="Times New Roman" w:cs="Times New Roman"/>
          <w:lang w:val="en-GB"/>
        </w:rPr>
        <w:t>d’origine</w:t>
      </w:r>
      <w:proofErr w:type="spellEnd"/>
      <w:r w:rsidRPr="001A519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A5192">
        <w:rPr>
          <w:rFonts w:ascii="Times New Roman" w:hAnsi="Times New Roman" w:cs="Times New Roman"/>
          <w:lang w:val="en-GB"/>
        </w:rPr>
        <w:t>satisfaits</w:t>
      </w:r>
      <w:proofErr w:type="spellEnd"/>
      <w:r w:rsidRPr="001A5192">
        <w:rPr>
          <w:rFonts w:ascii="Times New Roman" w:hAnsi="Times New Roman" w:cs="Times New Roman"/>
          <w:lang w:val="en-GB"/>
        </w:rPr>
        <w:t xml:space="preserve"> pour les </w:t>
      </w:r>
      <w:proofErr w:type="spellStart"/>
      <w:r w:rsidRPr="001A5192">
        <w:rPr>
          <w:rFonts w:ascii="Times New Roman" w:hAnsi="Times New Roman" w:cs="Times New Roman"/>
          <w:lang w:val="en-GB"/>
        </w:rPr>
        <w:t>produits</w:t>
      </w:r>
      <w:proofErr w:type="spellEnd"/>
    </w:p>
    <w:p w:rsidR="00C3451A" w:rsidRPr="008E16CB" w:rsidRDefault="00C3451A" w:rsidP="00BC7025">
      <w:pPr>
        <w:jc w:val="both"/>
        <w:rPr>
          <w:rFonts w:ascii="Times New Roman" w:hAnsi="Times New Roman" w:cs="Times New Roman"/>
        </w:rPr>
      </w:pPr>
    </w:p>
    <w:p w:rsidR="00C3451A" w:rsidRPr="00BC7025" w:rsidRDefault="00C3451A" w:rsidP="00BC7025">
      <w:pPr>
        <w:jc w:val="both"/>
      </w:pPr>
    </w:p>
    <w:sectPr w:rsidR="00C3451A" w:rsidRPr="00BC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6922"/>
    <w:multiLevelType w:val="hybridMultilevel"/>
    <w:tmpl w:val="388E1BA8"/>
    <w:lvl w:ilvl="0" w:tplc="E0DA8B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26C92"/>
    <w:multiLevelType w:val="hybridMultilevel"/>
    <w:tmpl w:val="9DB47AB0"/>
    <w:lvl w:ilvl="0" w:tplc="19B6A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2A62"/>
    <w:multiLevelType w:val="hybridMultilevel"/>
    <w:tmpl w:val="1D9662D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000B2"/>
    <w:multiLevelType w:val="hybridMultilevel"/>
    <w:tmpl w:val="A84022B2"/>
    <w:lvl w:ilvl="0" w:tplc="7722A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E7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24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C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2E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D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A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66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C6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1546A8"/>
    <w:multiLevelType w:val="hybridMultilevel"/>
    <w:tmpl w:val="8DE068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4"/>
    <w:rsid w:val="001A5192"/>
    <w:rsid w:val="001C6E84"/>
    <w:rsid w:val="00244CFF"/>
    <w:rsid w:val="00636977"/>
    <w:rsid w:val="008E16CB"/>
    <w:rsid w:val="00BC7025"/>
    <w:rsid w:val="00C3451A"/>
    <w:rsid w:val="00F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F597-9952-4234-A6F2-0DA89B4D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dgd12</dc:creator>
  <cp:keywords/>
  <dc:description/>
  <cp:lastModifiedBy>dgd12</cp:lastModifiedBy>
  <cp:revision>2</cp:revision>
  <dcterms:created xsi:type="dcterms:W3CDTF">2020-12-23T09:23:00Z</dcterms:created>
  <dcterms:modified xsi:type="dcterms:W3CDTF">2020-12-23T11:42:00Z</dcterms:modified>
</cp:coreProperties>
</file>