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91" w:rsidRPr="00750117" w:rsidRDefault="00AD0E91" w:rsidP="00750117">
      <w:pPr>
        <w:spacing w:before="200"/>
        <w:ind w:left="720"/>
        <w:jc w:val="center"/>
        <w:rPr>
          <w:rFonts w:ascii="Times New Roman" w:hAnsi="Times New Roman"/>
          <w:b/>
          <w:sz w:val="28"/>
          <w:szCs w:val="28"/>
        </w:rPr>
      </w:pPr>
      <w:r w:rsidRPr="00750117">
        <w:rPr>
          <w:rFonts w:ascii="Times New Roman" w:hAnsi="Times New Roman"/>
          <w:b/>
          <w:sz w:val="28"/>
          <w:szCs w:val="28"/>
          <w:highlight w:val="lightGray"/>
        </w:rPr>
        <w:t>GUIDE D’UTILISATION DU FORMULAIRE DE DEMANDE</w:t>
      </w:r>
    </w:p>
    <w:p w:rsidR="00AD0E91" w:rsidRPr="00750117" w:rsidRDefault="00AD0E91" w:rsidP="00750117">
      <w:pPr>
        <w:pStyle w:val="Paragraphedeliste"/>
        <w:numPr>
          <w:ilvl w:val="0"/>
          <w:numId w:val="1"/>
        </w:numPr>
        <w:jc w:val="both"/>
        <w:rPr>
          <w:rFonts w:ascii="Times New Roman" w:hAnsi="Times New Roman"/>
          <w:b/>
        </w:rPr>
      </w:pPr>
      <w:r w:rsidRPr="00750117">
        <w:rPr>
          <w:rFonts w:ascii="Times New Roman" w:hAnsi="Times New Roman"/>
          <w:b/>
        </w:rPr>
        <w:t>Renseignements sur le demandeur</w:t>
      </w:r>
    </w:p>
    <w:p w:rsidR="00AD0E91" w:rsidRPr="00750117" w:rsidRDefault="00AD0E91" w:rsidP="00750117">
      <w:pPr>
        <w:ind w:left="708"/>
        <w:jc w:val="both"/>
        <w:rPr>
          <w:rFonts w:ascii="Times New Roman" w:hAnsi="Times New Roman"/>
        </w:rPr>
      </w:pPr>
      <w:r w:rsidRPr="00750117">
        <w:rPr>
          <w:rFonts w:ascii="Times New Roman" w:hAnsi="Times New Roman"/>
        </w:rPr>
        <w:t xml:space="preserve">Indiquer les informations concernant l’identité du demandeur. </w:t>
      </w:r>
    </w:p>
    <w:p w:rsidR="00AD0E91" w:rsidRPr="00750117" w:rsidRDefault="00AD0E91" w:rsidP="00750117">
      <w:pPr>
        <w:ind w:left="708"/>
        <w:jc w:val="both"/>
        <w:rPr>
          <w:rFonts w:ascii="Times New Roman" w:hAnsi="Times New Roman"/>
        </w:rPr>
      </w:pPr>
      <w:r w:rsidRPr="00750117">
        <w:rPr>
          <w:rFonts w:ascii="Times New Roman" w:hAnsi="Times New Roman"/>
        </w:rPr>
        <w:t>Indiquer les activités du demandeur conformément à la carte statistique.</w:t>
      </w:r>
    </w:p>
    <w:p w:rsidR="00AD0E91" w:rsidRPr="00750117" w:rsidRDefault="00AD0E91" w:rsidP="00750117">
      <w:pPr>
        <w:ind w:left="708"/>
        <w:jc w:val="both"/>
        <w:rPr>
          <w:rFonts w:ascii="Times New Roman" w:hAnsi="Times New Roman"/>
        </w:rPr>
      </w:pPr>
      <w:r w:rsidRPr="00750117">
        <w:rPr>
          <w:rFonts w:ascii="Times New Roman" w:hAnsi="Times New Roman"/>
        </w:rPr>
        <w:t>Indiquer l’identité, la fonction et les coordonnées (téléphones, adresse de courrier électronique) de la personne qui sera en contact direct avec l’administration des douanes.</w:t>
      </w:r>
    </w:p>
    <w:p w:rsidR="00AD0E91" w:rsidRPr="00750117" w:rsidRDefault="00AD0E91" w:rsidP="00750117">
      <w:pPr>
        <w:pStyle w:val="Paragraphedeliste"/>
        <w:numPr>
          <w:ilvl w:val="0"/>
          <w:numId w:val="1"/>
        </w:numPr>
        <w:jc w:val="both"/>
        <w:rPr>
          <w:rFonts w:ascii="Times New Roman" w:hAnsi="Times New Roman"/>
          <w:b/>
        </w:rPr>
      </w:pPr>
      <w:r w:rsidRPr="00750117">
        <w:rPr>
          <w:rFonts w:ascii="Times New Roman" w:hAnsi="Times New Roman"/>
          <w:b/>
        </w:rPr>
        <w:t xml:space="preserve">Type de demande </w:t>
      </w:r>
    </w:p>
    <w:p w:rsidR="00AD0E91" w:rsidRPr="00750117" w:rsidRDefault="00AD0E91" w:rsidP="00750117">
      <w:pPr>
        <w:ind w:left="708"/>
        <w:jc w:val="both"/>
        <w:rPr>
          <w:rFonts w:ascii="Times New Roman" w:hAnsi="Times New Roman"/>
        </w:rPr>
      </w:pPr>
      <w:r w:rsidRPr="00750117">
        <w:rPr>
          <w:rFonts w:ascii="Times New Roman" w:hAnsi="Times New Roman"/>
        </w:rPr>
        <w:t>Les types de demande sont les suivants :</w:t>
      </w:r>
    </w:p>
    <w:p w:rsidR="00AD0E91" w:rsidRPr="00750117" w:rsidRDefault="00AD0E91" w:rsidP="00750117">
      <w:pPr>
        <w:pStyle w:val="Paragraphedeliste"/>
        <w:numPr>
          <w:ilvl w:val="0"/>
          <w:numId w:val="2"/>
        </w:numPr>
        <w:jc w:val="both"/>
        <w:rPr>
          <w:rFonts w:ascii="Times New Roman" w:hAnsi="Times New Roman"/>
        </w:rPr>
      </w:pPr>
      <w:r w:rsidRPr="00750117">
        <w:rPr>
          <w:rFonts w:ascii="Times New Roman" w:hAnsi="Times New Roman"/>
        </w:rPr>
        <w:t>Première demande : vous demandez le bénéfice d’un régime d’entrepôt de douane pour la première fois,</w:t>
      </w:r>
    </w:p>
    <w:p w:rsidR="00AD0E91" w:rsidRPr="00750117" w:rsidRDefault="00AD0E91" w:rsidP="00750117">
      <w:pPr>
        <w:pStyle w:val="Paragraphedeliste"/>
        <w:numPr>
          <w:ilvl w:val="0"/>
          <w:numId w:val="2"/>
        </w:numPr>
        <w:jc w:val="both"/>
        <w:rPr>
          <w:rFonts w:ascii="Times New Roman" w:hAnsi="Times New Roman"/>
        </w:rPr>
      </w:pPr>
      <w:r w:rsidRPr="00750117">
        <w:rPr>
          <w:rFonts w:ascii="Times New Roman" w:hAnsi="Times New Roman"/>
        </w:rPr>
        <w:t>Demande de modification : vous êtes déjà titulaire d’une autorisation d’entrepôt privé particulier mais vous désirez y apporter des modifications (ex. : rajouter des marchandises),</w:t>
      </w:r>
    </w:p>
    <w:p w:rsidR="00AD0E91" w:rsidRPr="00750117" w:rsidRDefault="00AD0E91" w:rsidP="00750117">
      <w:pPr>
        <w:pStyle w:val="Paragraphedeliste"/>
        <w:numPr>
          <w:ilvl w:val="0"/>
          <w:numId w:val="2"/>
        </w:numPr>
        <w:jc w:val="both"/>
        <w:rPr>
          <w:rFonts w:ascii="Times New Roman" w:hAnsi="Times New Roman"/>
        </w:rPr>
      </w:pPr>
      <w:r w:rsidRPr="00750117">
        <w:rPr>
          <w:rFonts w:ascii="Times New Roman" w:hAnsi="Times New Roman"/>
        </w:rPr>
        <w:t>Demande de renouvellement : vous êtes déjà titulaire d’une autorisation d’entrepôt mais celle-ci vient à expirer, aussi êtes-vous obligé de demandez une nouvelle autorisation.</w:t>
      </w:r>
    </w:p>
    <w:p w:rsidR="00AD0E91" w:rsidRPr="00750117" w:rsidRDefault="00AD0E91" w:rsidP="00750117">
      <w:pPr>
        <w:pStyle w:val="Paragraphedeliste"/>
        <w:ind w:left="1773"/>
        <w:jc w:val="both"/>
        <w:rPr>
          <w:rFonts w:ascii="Times New Roman" w:hAnsi="Times New Roman"/>
        </w:rPr>
      </w:pPr>
    </w:p>
    <w:p w:rsidR="00AD0E91" w:rsidRPr="00750117" w:rsidRDefault="00AD0E91" w:rsidP="00750117">
      <w:pPr>
        <w:pStyle w:val="Paragraphedeliste"/>
        <w:numPr>
          <w:ilvl w:val="0"/>
          <w:numId w:val="1"/>
        </w:numPr>
        <w:jc w:val="both"/>
        <w:rPr>
          <w:rFonts w:ascii="Times New Roman" w:hAnsi="Times New Roman"/>
          <w:b/>
        </w:rPr>
      </w:pPr>
      <w:r w:rsidRPr="00750117">
        <w:rPr>
          <w:rFonts w:ascii="Times New Roman" w:hAnsi="Times New Roman"/>
          <w:b/>
        </w:rPr>
        <w:t>Lieu et type de comptabilité</w:t>
      </w:r>
    </w:p>
    <w:p w:rsidR="00AD0E91" w:rsidRPr="00750117" w:rsidRDefault="00AD0E91" w:rsidP="00750117">
      <w:pPr>
        <w:pStyle w:val="Paragraphedeliste"/>
        <w:jc w:val="both"/>
        <w:rPr>
          <w:rFonts w:ascii="Times New Roman" w:hAnsi="Times New Roman"/>
        </w:rPr>
      </w:pPr>
    </w:p>
    <w:p w:rsidR="00AD0E91" w:rsidRPr="00750117" w:rsidRDefault="00AD0E91" w:rsidP="00750117">
      <w:pPr>
        <w:pStyle w:val="Paragraphedeliste"/>
        <w:numPr>
          <w:ilvl w:val="0"/>
          <w:numId w:val="3"/>
        </w:numPr>
        <w:jc w:val="both"/>
        <w:rPr>
          <w:rFonts w:ascii="Times New Roman" w:hAnsi="Times New Roman"/>
        </w:rPr>
      </w:pPr>
      <w:r w:rsidRPr="00750117">
        <w:rPr>
          <w:rFonts w:ascii="Times New Roman" w:hAnsi="Times New Roman"/>
        </w:rPr>
        <w:t xml:space="preserve">Indiquer l’adresse exacte du lieu où sera tenue la comptabilité du demandeur. </w:t>
      </w:r>
    </w:p>
    <w:p w:rsidR="00AD0E91" w:rsidRPr="00750117" w:rsidRDefault="00AD0E91" w:rsidP="00750117">
      <w:pPr>
        <w:pStyle w:val="Paragraphedeliste"/>
        <w:numPr>
          <w:ilvl w:val="0"/>
          <w:numId w:val="3"/>
        </w:numPr>
        <w:jc w:val="both"/>
        <w:rPr>
          <w:rFonts w:ascii="Times New Roman" w:hAnsi="Times New Roman"/>
        </w:rPr>
      </w:pPr>
      <w:r w:rsidRPr="00750117">
        <w:rPr>
          <w:rFonts w:ascii="Times New Roman" w:hAnsi="Times New Roman"/>
        </w:rPr>
        <w:t>Indiquer s’il s’agit d’une comptabilité manuelle ou informatisé.</w:t>
      </w:r>
    </w:p>
    <w:p w:rsidR="00AD0E91" w:rsidRPr="00750117" w:rsidRDefault="00AD0E91" w:rsidP="00750117">
      <w:pPr>
        <w:pStyle w:val="Paragraphedeliste"/>
        <w:numPr>
          <w:ilvl w:val="0"/>
          <w:numId w:val="3"/>
        </w:numPr>
        <w:jc w:val="both"/>
        <w:rPr>
          <w:rFonts w:ascii="Times New Roman" w:hAnsi="Times New Roman"/>
        </w:rPr>
      </w:pPr>
      <w:r w:rsidRPr="00750117">
        <w:rPr>
          <w:rFonts w:ascii="Times New Roman" w:hAnsi="Times New Roman"/>
        </w:rPr>
        <w:t>Indiquer les informations concernant l’identité et la qualité de la personne chargée de la tenue de la comptabilité (ex. : commissionnaire agréé en douane, etc.) dans le cas où il ne s’agit par du demandeur lui-même.</w:t>
      </w:r>
    </w:p>
    <w:p w:rsidR="00AD0E91" w:rsidRPr="00750117" w:rsidRDefault="00AD0E91" w:rsidP="00750117">
      <w:pPr>
        <w:pStyle w:val="Paragraphedeliste"/>
        <w:spacing w:after="0"/>
        <w:ind w:left="1080"/>
        <w:jc w:val="both"/>
        <w:rPr>
          <w:rFonts w:ascii="Times New Roman" w:hAnsi="Times New Roman"/>
        </w:rPr>
      </w:pP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Marchandises destinées à être placées sous le régime</w:t>
      </w:r>
    </w:p>
    <w:p w:rsidR="00AD0E91" w:rsidRPr="00750117" w:rsidRDefault="00AD0E91" w:rsidP="00750117">
      <w:pPr>
        <w:ind w:left="708"/>
        <w:jc w:val="both"/>
        <w:rPr>
          <w:rFonts w:ascii="Times New Roman" w:hAnsi="Times New Roman"/>
        </w:rPr>
      </w:pPr>
      <w:r w:rsidRPr="00750117">
        <w:rPr>
          <w:rFonts w:ascii="Times New Roman" w:hAnsi="Times New Roman"/>
        </w:rPr>
        <w:t>Ces marchandises doivent être en relation avec  les activités énoncées au point 1. Elles seront les seules autorisées à être placées sous le régime de l’entrepôt de douane par le demandeur.</w:t>
      </w:r>
    </w:p>
    <w:p w:rsidR="00AD0E91" w:rsidRPr="00750117" w:rsidRDefault="00AD0E91" w:rsidP="00750117">
      <w:pPr>
        <w:pStyle w:val="Paragraphedeliste"/>
        <w:numPr>
          <w:ilvl w:val="0"/>
          <w:numId w:val="2"/>
        </w:numPr>
        <w:tabs>
          <w:tab w:val="left" w:pos="1843"/>
        </w:tabs>
        <w:ind w:left="3402" w:hanging="1989"/>
        <w:jc w:val="both"/>
        <w:rPr>
          <w:rFonts w:ascii="Times New Roman" w:hAnsi="Times New Roman"/>
        </w:rPr>
      </w:pPr>
      <w:r w:rsidRPr="00750117">
        <w:rPr>
          <w:rFonts w:ascii="Times New Roman" w:hAnsi="Times New Roman"/>
        </w:rPr>
        <w:t>Espèce tarifaire : indiquer la position tarifaire de la marchandise selon le code SH (au moins à quatre chiffres)</w:t>
      </w:r>
    </w:p>
    <w:p w:rsidR="00AD0E91" w:rsidRPr="00750117" w:rsidRDefault="00AD0E91" w:rsidP="00750117">
      <w:pPr>
        <w:pStyle w:val="Paragraphedeliste"/>
        <w:numPr>
          <w:ilvl w:val="0"/>
          <w:numId w:val="2"/>
        </w:numPr>
        <w:tabs>
          <w:tab w:val="left" w:pos="1843"/>
        </w:tabs>
        <w:ind w:left="3402" w:hanging="1989"/>
        <w:jc w:val="both"/>
        <w:rPr>
          <w:rFonts w:ascii="Times New Roman" w:hAnsi="Times New Roman"/>
        </w:rPr>
      </w:pPr>
      <w:r w:rsidRPr="00750117">
        <w:rPr>
          <w:rFonts w:ascii="Times New Roman" w:hAnsi="Times New Roman"/>
        </w:rPr>
        <w:t xml:space="preserve">Désignation : indiquer la désignation commerciale et/ou technique des marchandises </w:t>
      </w:r>
    </w:p>
    <w:p w:rsidR="00AD0E91" w:rsidRPr="00750117" w:rsidRDefault="00AD0E91" w:rsidP="00750117">
      <w:pPr>
        <w:pStyle w:val="Paragraphedeliste"/>
        <w:numPr>
          <w:ilvl w:val="0"/>
          <w:numId w:val="2"/>
        </w:numPr>
        <w:tabs>
          <w:tab w:val="left" w:pos="1843"/>
        </w:tabs>
        <w:ind w:left="3402" w:hanging="1989"/>
        <w:jc w:val="both"/>
        <w:rPr>
          <w:rFonts w:ascii="Times New Roman" w:hAnsi="Times New Roman"/>
        </w:rPr>
      </w:pPr>
      <w:r w:rsidRPr="00750117">
        <w:rPr>
          <w:rFonts w:ascii="Times New Roman" w:hAnsi="Times New Roman"/>
        </w:rPr>
        <w:t xml:space="preserve">Quantité : indiquer la quantité approximative des marchandises à placer en entrepôt </w:t>
      </w:r>
    </w:p>
    <w:p w:rsidR="00AD0E91" w:rsidRPr="00750117" w:rsidRDefault="00AD0E91" w:rsidP="00750117">
      <w:pPr>
        <w:pStyle w:val="Paragraphedeliste"/>
        <w:numPr>
          <w:ilvl w:val="0"/>
          <w:numId w:val="2"/>
        </w:numPr>
        <w:tabs>
          <w:tab w:val="left" w:pos="1843"/>
        </w:tabs>
        <w:ind w:left="3402" w:hanging="1989"/>
        <w:jc w:val="both"/>
        <w:rPr>
          <w:rFonts w:ascii="Times New Roman" w:hAnsi="Times New Roman"/>
        </w:rPr>
      </w:pPr>
      <w:r w:rsidRPr="00750117">
        <w:rPr>
          <w:rFonts w:ascii="Times New Roman" w:hAnsi="Times New Roman"/>
        </w:rPr>
        <w:t>Conditionnement : indiquer le type de conditionnement au moment de l’importation</w:t>
      </w: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Bureaux des douanes de domiciliation</w:t>
      </w:r>
    </w:p>
    <w:p w:rsidR="00AD0E91" w:rsidRPr="00750117" w:rsidRDefault="00AD0E91" w:rsidP="00750117">
      <w:pPr>
        <w:pStyle w:val="Paragraphedeliste"/>
        <w:tabs>
          <w:tab w:val="left" w:pos="709"/>
        </w:tabs>
        <w:jc w:val="both"/>
        <w:rPr>
          <w:rFonts w:ascii="Times New Roman" w:hAnsi="Times New Roman"/>
        </w:rPr>
      </w:pPr>
      <w:r w:rsidRPr="00750117">
        <w:rPr>
          <w:rFonts w:ascii="Times New Roman" w:hAnsi="Times New Roman"/>
        </w:rPr>
        <w:t>Bureaux où seront déposées les déclarations de mise en entrepôt (IM7) relatives  à la présente autorisation.</w:t>
      </w:r>
    </w:p>
    <w:p w:rsidR="00AD0E91" w:rsidRPr="00750117" w:rsidRDefault="00AD0E91" w:rsidP="00750117">
      <w:pPr>
        <w:pStyle w:val="Paragraphedeliste"/>
        <w:tabs>
          <w:tab w:val="left" w:pos="709"/>
        </w:tabs>
        <w:spacing w:after="0"/>
        <w:jc w:val="both"/>
        <w:rPr>
          <w:rFonts w:ascii="Times New Roman" w:hAnsi="Times New Roman"/>
        </w:rPr>
      </w:pP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Lieux de stockage</w:t>
      </w:r>
    </w:p>
    <w:p w:rsidR="00AD0E91" w:rsidRPr="00750117" w:rsidRDefault="00AD0E91" w:rsidP="00750117">
      <w:pPr>
        <w:pStyle w:val="Paragraphedeliste"/>
        <w:tabs>
          <w:tab w:val="left" w:pos="709"/>
        </w:tabs>
        <w:jc w:val="both"/>
        <w:rPr>
          <w:rFonts w:ascii="Times New Roman" w:hAnsi="Times New Roman"/>
        </w:rPr>
      </w:pPr>
      <w:r w:rsidRPr="00750117">
        <w:rPr>
          <w:rFonts w:ascii="Times New Roman" w:hAnsi="Times New Roman"/>
        </w:rPr>
        <w:t xml:space="preserve">Indiquer les adresses exactes de tous les locaux de stockages agréés par l’administration des douanes pour l’application de la présente autorisation ainsi que </w:t>
      </w:r>
      <w:r w:rsidRPr="00750117">
        <w:rPr>
          <w:rFonts w:ascii="Times New Roman" w:hAnsi="Times New Roman"/>
          <w:u w:val="single"/>
        </w:rPr>
        <w:t>les références de leur décision d’agrément</w:t>
      </w:r>
      <w:r w:rsidRPr="00750117">
        <w:rPr>
          <w:rFonts w:ascii="Times New Roman" w:hAnsi="Times New Roman"/>
        </w:rPr>
        <w:t>.</w:t>
      </w:r>
    </w:p>
    <w:p w:rsidR="00AD0E91" w:rsidRPr="00750117" w:rsidRDefault="00AD0E91" w:rsidP="00750117">
      <w:pPr>
        <w:pStyle w:val="Paragraphedeliste"/>
        <w:tabs>
          <w:tab w:val="left" w:pos="709"/>
        </w:tabs>
        <w:jc w:val="both"/>
        <w:rPr>
          <w:rFonts w:ascii="Times New Roman" w:hAnsi="Times New Roman"/>
        </w:rPr>
      </w:pPr>
    </w:p>
    <w:p w:rsidR="00AD0E91" w:rsidRPr="00750117" w:rsidRDefault="00AD0E91" w:rsidP="00750117">
      <w:pPr>
        <w:pStyle w:val="Paragraphedeliste"/>
        <w:numPr>
          <w:ilvl w:val="0"/>
          <w:numId w:val="1"/>
        </w:numPr>
        <w:tabs>
          <w:tab w:val="left" w:pos="709"/>
        </w:tabs>
        <w:jc w:val="both"/>
        <w:rPr>
          <w:rFonts w:ascii="Times New Roman" w:hAnsi="Times New Roman"/>
          <w:b/>
        </w:rPr>
      </w:pPr>
      <w:r w:rsidRPr="00750117">
        <w:rPr>
          <w:rFonts w:ascii="Times New Roman" w:hAnsi="Times New Roman"/>
          <w:b/>
        </w:rPr>
        <w:t>Moyens d’identification des marchandises</w:t>
      </w:r>
    </w:p>
    <w:p w:rsidR="00AD0E91" w:rsidRPr="00750117" w:rsidRDefault="00AD0E91" w:rsidP="00750117">
      <w:pPr>
        <w:pStyle w:val="Paragraphedeliste"/>
        <w:tabs>
          <w:tab w:val="left" w:pos="709"/>
        </w:tabs>
        <w:jc w:val="both"/>
        <w:rPr>
          <w:rFonts w:ascii="Times New Roman" w:hAnsi="Times New Roman"/>
        </w:rPr>
      </w:pPr>
    </w:p>
    <w:p w:rsidR="00AD0E91" w:rsidRPr="00750117" w:rsidRDefault="00AD0E91" w:rsidP="00750117">
      <w:pPr>
        <w:pStyle w:val="Paragraphedeliste"/>
        <w:tabs>
          <w:tab w:val="left" w:pos="709"/>
        </w:tabs>
        <w:jc w:val="both"/>
        <w:rPr>
          <w:rFonts w:ascii="Times New Roman" w:hAnsi="Times New Roman"/>
        </w:rPr>
      </w:pPr>
      <w:r w:rsidRPr="00750117">
        <w:rPr>
          <w:rFonts w:ascii="Times New Roman" w:hAnsi="Times New Roman"/>
        </w:rPr>
        <w:t xml:space="preserve">Décrire les moyens permettant de confirmer lors des contrôles d’utilisation du régime ou au moment de son apurement que les marchandises en présence sont effectivement celles qui ont fait l’objet d’une déclaration de mise en entrepôt. </w:t>
      </w: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Manipulations</w:t>
      </w:r>
    </w:p>
    <w:p w:rsidR="00AD0E91" w:rsidRPr="00750117" w:rsidRDefault="00AD0E91" w:rsidP="00750117">
      <w:pPr>
        <w:pStyle w:val="Paragraphedeliste"/>
        <w:tabs>
          <w:tab w:val="left" w:pos="709"/>
        </w:tabs>
        <w:jc w:val="both"/>
        <w:rPr>
          <w:rFonts w:ascii="Times New Roman" w:hAnsi="Times New Roman"/>
        </w:rPr>
      </w:pPr>
      <w:r w:rsidRPr="00750117">
        <w:rPr>
          <w:rFonts w:ascii="Times New Roman" w:hAnsi="Times New Roman"/>
        </w:rPr>
        <w:t xml:space="preserve">Il s’agit des manipulations que peuvent recevoir les marchandises au cours de leur séjour en  entrepôt conformément aux dispositions de l’arrêté 1410. Lorsque ces manipulations sont prévisibles et effectuées de manière régulière, décrire leurs buts et leurs formes dans la présente autorisation. </w:t>
      </w:r>
    </w:p>
    <w:p w:rsidR="00AD0E91" w:rsidRPr="00750117" w:rsidRDefault="00AD0E91" w:rsidP="00750117">
      <w:pPr>
        <w:ind w:left="708"/>
        <w:jc w:val="both"/>
        <w:rPr>
          <w:rFonts w:ascii="Times New Roman" w:hAnsi="Times New Roman"/>
        </w:rPr>
      </w:pPr>
      <w:r w:rsidRPr="00750117">
        <w:rPr>
          <w:rFonts w:ascii="Times New Roman" w:hAnsi="Times New Roman"/>
        </w:rPr>
        <w:t>Les manipulations ponctuelles doivent être autorisées par le receveur des douanes du bureau de domiciliation concerné.</w:t>
      </w: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Régime(s) d’apurement</w:t>
      </w:r>
    </w:p>
    <w:p w:rsidR="00AD0E91" w:rsidRPr="00750117" w:rsidRDefault="00AD0E91" w:rsidP="00750117">
      <w:pPr>
        <w:ind w:left="720"/>
        <w:jc w:val="both"/>
        <w:rPr>
          <w:rFonts w:ascii="Times New Roman" w:hAnsi="Times New Roman"/>
        </w:rPr>
      </w:pPr>
      <w:r w:rsidRPr="00750117">
        <w:rPr>
          <w:rFonts w:ascii="Times New Roman" w:hAnsi="Times New Roman"/>
        </w:rPr>
        <w:t>Décrire les régimes douaniers avec lesquels seront apurées les déclarations de mise en entrepôt ainsi que les opérations y relatives (ex. : vente à des entreprises franches : EX3).</w:t>
      </w: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Transfert </w:t>
      </w:r>
    </w:p>
    <w:p w:rsidR="00AD0E91" w:rsidRPr="00750117" w:rsidRDefault="00AD0E91" w:rsidP="00750117">
      <w:pPr>
        <w:ind w:left="708"/>
        <w:jc w:val="both"/>
        <w:rPr>
          <w:rFonts w:ascii="Times New Roman" w:hAnsi="Times New Roman"/>
        </w:rPr>
      </w:pPr>
      <w:r w:rsidRPr="00750117">
        <w:rPr>
          <w:rFonts w:ascii="Times New Roman" w:hAnsi="Times New Roman"/>
        </w:rPr>
        <w:t>Préciser si le transfert est destiné à un autre local agréé vous appartenant (préciser l’adresse) ou à un autre bénéficiaire d’AGLOMEP.</w:t>
      </w:r>
    </w:p>
    <w:p w:rsidR="00AD0E91" w:rsidRPr="00750117" w:rsidRDefault="00AD0E91" w:rsidP="00750117">
      <w:pPr>
        <w:ind w:left="708"/>
        <w:jc w:val="both"/>
        <w:rPr>
          <w:rFonts w:ascii="Times New Roman" w:hAnsi="Times New Roman"/>
        </w:rPr>
      </w:pPr>
      <w:r w:rsidRPr="00750117">
        <w:rPr>
          <w:rFonts w:ascii="Times New Roman" w:hAnsi="Times New Roman"/>
        </w:rPr>
        <w:t>Indiquer toutes les informations concernant ces opérations dans le cas où elles sont prévisibles (description de la procédure de transfert) sinon elles doivent faire l’objet de demandes ponctuelles auprès du SLR.</w:t>
      </w: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Taux de perte</w:t>
      </w:r>
    </w:p>
    <w:p w:rsidR="00AD0E91" w:rsidRPr="00750117" w:rsidRDefault="00AD0E91" w:rsidP="00750117">
      <w:pPr>
        <w:ind w:left="720"/>
        <w:jc w:val="both"/>
        <w:rPr>
          <w:rFonts w:ascii="Times New Roman" w:hAnsi="Times New Roman"/>
        </w:rPr>
      </w:pPr>
      <w:r w:rsidRPr="00750117">
        <w:rPr>
          <w:rFonts w:ascii="Times New Roman" w:hAnsi="Times New Roman"/>
        </w:rPr>
        <w:t>Indiquer le mode de calcul du taux de perte, le cas échéant.</w:t>
      </w: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Informations complémentaires</w:t>
      </w:r>
    </w:p>
    <w:p w:rsidR="00AD0E91" w:rsidRPr="00750117" w:rsidRDefault="00AD0E91" w:rsidP="00750117">
      <w:pPr>
        <w:ind w:left="708"/>
        <w:jc w:val="both"/>
        <w:rPr>
          <w:rFonts w:ascii="Times New Roman" w:hAnsi="Times New Roman"/>
        </w:rPr>
      </w:pPr>
      <w:r w:rsidRPr="00750117">
        <w:rPr>
          <w:rFonts w:ascii="Times New Roman" w:hAnsi="Times New Roman"/>
        </w:rPr>
        <w:t>Indiquer les informations pertinentes liées à l’utilisation de l’entrepôt sous douane et qui n’ont pas figurées dans les points énumérés ci-dessus.</w:t>
      </w: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Signature</w:t>
      </w:r>
    </w:p>
    <w:p w:rsidR="00AD0E91" w:rsidRPr="00750117" w:rsidRDefault="00AD0E91" w:rsidP="00750117">
      <w:pPr>
        <w:ind w:left="720"/>
        <w:jc w:val="both"/>
        <w:rPr>
          <w:rFonts w:ascii="Times New Roman" w:hAnsi="Times New Roman"/>
        </w:rPr>
      </w:pPr>
      <w:r w:rsidRPr="00750117">
        <w:rPr>
          <w:rFonts w:ascii="Times New Roman" w:hAnsi="Times New Roman"/>
        </w:rPr>
        <w:t xml:space="preserve">La présente demande doit être signée par une personne qui est habilitée à représenter le demandeur (indiquer sa fonction) ou qui a reçu de sa part un mandat de le faire. </w:t>
      </w:r>
    </w:p>
    <w:p w:rsidR="00AD0E91" w:rsidRPr="00750117" w:rsidRDefault="00AD0E91" w:rsidP="00750117">
      <w:pPr>
        <w:ind w:left="720"/>
        <w:jc w:val="both"/>
        <w:rPr>
          <w:rFonts w:ascii="Times New Roman" w:hAnsi="Times New Roman"/>
        </w:rPr>
      </w:pPr>
      <w:r w:rsidRPr="00750117">
        <w:rPr>
          <w:rFonts w:ascii="Times New Roman" w:hAnsi="Times New Roman"/>
        </w:rPr>
        <w:t>Apposer le cachet  du demandeur ou du mandataire sur la signature.</w:t>
      </w:r>
    </w:p>
    <w:p w:rsidR="00AD0E91" w:rsidRPr="00750117" w:rsidRDefault="00AD0E91" w:rsidP="00750117">
      <w:pPr>
        <w:numPr>
          <w:ilvl w:val="0"/>
          <w:numId w:val="1"/>
        </w:numPr>
        <w:jc w:val="both"/>
        <w:rPr>
          <w:rFonts w:ascii="Times New Roman" w:hAnsi="Times New Roman"/>
          <w:b/>
        </w:rPr>
      </w:pPr>
      <w:r w:rsidRPr="00750117">
        <w:rPr>
          <w:rFonts w:ascii="Times New Roman" w:hAnsi="Times New Roman"/>
          <w:b/>
        </w:rPr>
        <w:t>Avis du Receveur du bureau de domiciliation</w:t>
      </w:r>
    </w:p>
    <w:p w:rsidR="00AD0E91" w:rsidRPr="00750117" w:rsidRDefault="00AD0E91" w:rsidP="00750117">
      <w:pPr>
        <w:ind w:left="720"/>
        <w:jc w:val="both"/>
        <w:rPr>
          <w:rFonts w:ascii="Times New Roman" w:hAnsi="Times New Roman"/>
        </w:rPr>
      </w:pPr>
      <w:r w:rsidRPr="00750117">
        <w:rPr>
          <w:rFonts w:ascii="Times New Roman" w:hAnsi="Times New Roman"/>
        </w:rPr>
        <w:t xml:space="preserve">En cas de pluralité de bureaux de domiciliation, un exemplaire doit être déposé auprès de chacun de ces bureaux pour recueillir l’avis de chaque receveur des douanes concerné. Chaque exemplaire devant être adressé au SLR, par la suite. </w:t>
      </w:r>
    </w:p>
    <w:p w:rsidR="00AD0E91" w:rsidRPr="00750117" w:rsidRDefault="00AD0E91" w:rsidP="00750117">
      <w:pPr>
        <w:ind w:left="720"/>
        <w:jc w:val="both"/>
        <w:rPr>
          <w:rFonts w:ascii="Times New Roman" w:hAnsi="Times New Roman"/>
        </w:rPr>
      </w:pPr>
    </w:p>
    <w:p w:rsidR="00AD0E91" w:rsidRPr="00750117" w:rsidRDefault="00AD0E91" w:rsidP="00750117">
      <w:pPr>
        <w:ind w:left="708"/>
        <w:jc w:val="both"/>
        <w:rPr>
          <w:rFonts w:ascii="Times New Roman" w:hAnsi="Times New Roman"/>
        </w:rPr>
      </w:pPr>
    </w:p>
    <w:p w:rsidR="00AD0E91" w:rsidRPr="00750117" w:rsidRDefault="00AD0E91" w:rsidP="00750117">
      <w:pPr>
        <w:pStyle w:val="Paragraphedeliste"/>
        <w:ind w:left="1080"/>
        <w:jc w:val="both"/>
        <w:rPr>
          <w:rFonts w:ascii="Times New Roman" w:hAnsi="Times New Roman"/>
        </w:rPr>
      </w:pPr>
    </w:p>
    <w:p w:rsidR="004F774A" w:rsidRDefault="00750117"/>
    <w:sectPr w:rsidR="004F774A" w:rsidSect="0010533C">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74FD"/>
    <w:multiLevelType w:val="hybridMultilevel"/>
    <w:tmpl w:val="C8340F20"/>
    <w:lvl w:ilvl="0" w:tplc="151E7CD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312432D"/>
    <w:multiLevelType w:val="hybridMultilevel"/>
    <w:tmpl w:val="5FDAA3CE"/>
    <w:lvl w:ilvl="0" w:tplc="4FA6EB96">
      <w:start w:val="2"/>
      <w:numFmt w:val="bullet"/>
      <w:lvlText w:val="-"/>
      <w:lvlJc w:val="left"/>
      <w:pPr>
        <w:ind w:left="1773" w:hanging="360"/>
      </w:pPr>
      <w:rPr>
        <w:rFonts w:ascii="Calibri" w:eastAsia="Calibri" w:hAnsi="Calibri" w:cs="Times New Roman"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2">
    <w:nsid w:val="466253CB"/>
    <w:multiLevelType w:val="hybridMultilevel"/>
    <w:tmpl w:val="B5784D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0E91"/>
    <w:rsid w:val="00070DA1"/>
    <w:rsid w:val="002A1ED9"/>
    <w:rsid w:val="002D5107"/>
    <w:rsid w:val="00750117"/>
    <w:rsid w:val="007837A2"/>
    <w:rsid w:val="007D70F7"/>
    <w:rsid w:val="00AD0E91"/>
    <w:rsid w:val="00E00CA5"/>
    <w:rsid w:val="00E57AD8"/>
    <w:rsid w:val="00EF29A4"/>
    <w:rsid w:val="00FE36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9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0E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3664</Characters>
  <Application>Microsoft Office Word</Application>
  <DocSecurity>0</DocSecurity>
  <Lines>30</Lines>
  <Paragraphs>8</Paragraphs>
  <ScaleCrop>false</ScaleCrop>
  <Company>Windows-Trust</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Enigma</cp:lastModifiedBy>
  <cp:revision>2</cp:revision>
  <dcterms:created xsi:type="dcterms:W3CDTF">2014-02-06T11:25:00Z</dcterms:created>
  <dcterms:modified xsi:type="dcterms:W3CDTF">2014-02-10T10:31:00Z</dcterms:modified>
</cp:coreProperties>
</file>